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Застройщики, привлекшие финансы дольщиков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,</w:t>
      </w: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обязаны размещать в интернете информацию </w:t>
      </w:r>
    </w:p>
    <w:p w:rsidR="00BA7311" w:rsidRP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своей финансовой устойчивости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D803C9" wp14:editId="0515F96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014980" cy="2005965"/>
            <wp:effectExtent l="0" t="0" r="0" b="0"/>
            <wp:wrapSquare wrapText="bothSides"/>
            <wp:docPr id="2" name="Рисунок 2" descr="http://xn--h1aadcj4a9b.xn--p1ai/wp-content/uploads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dcj4a9b.xn--p1ai/wp-content/uploads/imag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311">
        <w:rPr>
          <w:rFonts w:ascii="Segoe UI" w:hAnsi="Segoe UI" w:cs="Segoe UI"/>
        </w:rPr>
        <w:t>Постановлением Правительства РФ от 26.03.2019 № 319 утверждены правила, размещения информации в единой информационной системе жилищного строительства. Документ касается застройщиков, которые привлекают средства дольщиков, и вступает в силу с            28 мая 2019 года.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Правилами, в том числе определены требования, касающиеся размещения справок застройщиков о размере собственных средств и соблюдении нормативов финансовой устойчивости.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Так, например, первую справку нужно внести в систему одновременно с первой проектной декларацией, в отношении которой заключение о соответствии Закону о долевом участии в строительстве получено после 1 октября 2018 года.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Последующие справки – не позднее пяти рабочих дней после окончания каждого квартала строительства, информация о котором есть в системе. Сейчас застройщики тоже обязаны размещать эти сведения, однако сроки размещения не установлены.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Также застройщики будут обязаны вносить в систему сведения о прекращении действия только разрешений на строительство. Решение уполномоченного органа об этом следует загружать не позднее чем через пять рабочих дней после его принятия.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Отметим, что в соответствии с сегодняшними требованиями, необходимо размещать информацию не только о прекращении действия разрешения на строительство, но также и многих других документов (например, подтверждающих право на землю, проектной декларации). На это отведено три рабочих дня со дня прекращения действия документа.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Добавим, что нарушение новых правил грозит денежными потерями в виде штрафа для должностных на сумму от 15 тыс. до 30 тыс. руб., для компаний –                 от 50 тыс. до 200 тыс. руб.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ab/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434235" w:rsidRPr="00BA7311" w:rsidRDefault="00434235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2B" w:rsidRDefault="00F8042B" w:rsidP="00CD085E">
      <w:r>
        <w:separator/>
      </w:r>
    </w:p>
  </w:endnote>
  <w:endnote w:type="continuationSeparator" w:id="0">
    <w:p w:rsidR="00F8042B" w:rsidRDefault="00F8042B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0F" w:rsidRDefault="005E19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E190F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E190F">
      <w:rPr>
        <w:noProof/>
        <w:sz w:val="16"/>
        <w:szCs w:val="16"/>
      </w:rPr>
      <w:t>14:29:29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E190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E190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2B" w:rsidRDefault="00F8042B" w:rsidP="00CD085E">
      <w:r>
        <w:separator/>
      </w:r>
    </w:p>
  </w:footnote>
  <w:footnote w:type="continuationSeparator" w:id="0">
    <w:p w:rsidR="00F8042B" w:rsidRDefault="00F8042B" w:rsidP="00CD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0F" w:rsidRDefault="005E190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0F" w:rsidRDefault="005E190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0F" w:rsidRDefault="005E19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1.8pt;height:11.8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190F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042B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E35"/>
  <w15:docId w15:val="{CD9114FB-6EA3-4215-AE07-1D73447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E19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19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4C0C-1E00-48DE-829C-1B3D3884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Анастасия Крыткина</cp:lastModifiedBy>
  <cp:revision>5</cp:revision>
  <cp:lastPrinted>2019-02-05T06:35:00Z</cp:lastPrinted>
  <dcterms:created xsi:type="dcterms:W3CDTF">2019-04-04T04:49:00Z</dcterms:created>
  <dcterms:modified xsi:type="dcterms:W3CDTF">2019-04-09T07:29:00Z</dcterms:modified>
</cp:coreProperties>
</file>